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7628" w14:textId="77777777" w:rsidR="00713FAB" w:rsidRDefault="00000000" w:rsidP="00404D17">
      <w:pPr>
        <w:pStyle w:val="a4"/>
        <w:spacing w:line="240" w:lineRule="auto"/>
      </w:pPr>
      <w:r>
        <w:rPr>
          <w:rFonts w:hint="eastAsia"/>
          <w:b/>
          <w:bCs/>
          <w:sz w:val="32"/>
        </w:rPr>
        <w:t>High Confidence Mo/Si Multilayer Deposition for the Transmission X-Ray Multilayer Mirror Microscope TXM</w:t>
      </w:r>
      <w:r>
        <w:rPr>
          <w:rFonts w:hint="eastAsia"/>
          <w:b/>
          <w:bCs/>
          <w:sz w:val="32"/>
          <w:vertAlign w:val="superscript"/>
        </w:rPr>
        <w:t>3</w:t>
      </w:r>
    </w:p>
    <w:p w14:paraId="1AB6A01F" w14:textId="77777777" w:rsidR="00713FAB" w:rsidRDefault="00713FAB" w:rsidP="00D97A56">
      <w:pPr>
        <w:pStyle w:val="a4"/>
        <w:adjustRightInd w:val="0"/>
        <w:spacing w:line="240" w:lineRule="auto"/>
        <w:rPr>
          <w:u w:val="single"/>
        </w:rPr>
      </w:pPr>
    </w:p>
    <w:p w14:paraId="6B297297" w14:textId="77777777" w:rsidR="00713FAB" w:rsidRDefault="00000000" w:rsidP="00D97A56">
      <w:pPr>
        <w:pStyle w:val="a4"/>
        <w:adjustRightInd w:val="0"/>
        <w:spacing w:line="240" w:lineRule="auto"/>
        <w:rPr>
          <w:sz w:val="22"/>
          <w:szCs w:val="22"/>
        </w:rPr>
      </w:pPr>
      <w:r w:rsidRPr="00383C4E">
        <w:rPr>
          <w:rFonts w:hint="eastAsia"/>
          <w:sz w:val="22"/>
          <w:szCs w:val="22"/>
          <w:u w:val="single"/>
        </w:rPr>
        <w:t>Tetsuo Harada</w:t>
      </w:r>
      <w:r w:rsidRPr="00383C4E">
        <w:rPr>
          <w:rFonts w:hint="eastAsia"/>
          <w:sz w:val="22"/>
          <w:szCs w:val="22"/>
        </w:rPr>
        <w:t xml:space="preserve">, Tadashi </w:t>
      </w:r>
      <w:proofErr w:type="spellStart"/>
      <w:r w:rsidRPr="00383C4E">
        <w:rPr>
          <w:rFonts w:hint="eastAsia"/>
          <w:sz w:val="22"/>
          <w:szCs w:val="22"/>
        </w:rPr>
        <w:t>Hatano</w:t>
      </w:r>
      <w:proofErr w:type="spellEnd"/>
      <w:r w:rsidRPr="00383C4E">
        <w:rPr>
          <w:rFonts w:hint="eastAsia"/>
          <w:sz w:val="22"/>
          <w:szCs w:val="22"/>
        </w:rPr>
        <w:t>, Masaki Yamamoto</w:t>
      </w:r>
    </w:p>
    <w:p w14:paraId="58DBCBC7" w14:textId="77777777" w:rsidR="00F800D4" w:rsidRPr="00F800D4" w:rsidRDefault="00F800D4" w:rsidP="00D97A56">
      <w:pPr>
        <w:pStyle w:val="a4"/>
        <w:adjustRightInd w:val="0"/>
        <w:spacing w:line="240" w:lineRule="auto"/>
        <w:rPr>
          <w:sz w:val="22"/>
          <w:szCs w:val="22"/>
        </w:rPr>
      </w:pPr>
    </w:p>
    <w:p w14:paraId="301E06F0" w14:textId="77777777" w:rsidR="00713FAB" w:rsidRDefault="00000000" w:rsidP="00D97A56">
      <w:pPr>
        <w:pStyle w:val="a4"/>
        <w:adjustRightInd w:val="0"/>
        <w:spacing w:line="240" w:lineRule="auto"/>
        <w:rPr>
          <w:sz w:val="21"/>
        </w:rPr>
      </w:pPr>
      <w:r>
        <w:rPr>
          <w:rFonts w:hint="eastAsia"/>
          <w:sz w:val="21"/>
        </w:rPr>
        <w:t>Division of Soft X-Ray Microscopy, Center for Advanced Microscopy and Spectroscopy,</w:t>
      </w:r>
    </w:p>
    <w:p w14:paraId="0AFCF73D" w14:textId="77777777" w:rsidR="00713FAB" w:rsidRDefault="00000000" w:rsidP="00D97A56">
      <w:pPr>
        <w:pStyle w:val="a4"/>
        <w:adjustRightInd w:val="0"/>
        <w:spacing w:line="240" w:lineRule="auto"/>
      </w:pPr>
      <w:r>
        <w:rPr>
          <w:rFonts w:hint="eastAsia"/>
          <w:sz w:val="21"/>
        </w:rPr>
        <w:t>Institute of Multidisciplinary Research for Advanced Materials, Tohoku University</w:t>
      </w:r>
    </w:p>
    <w:p w14:paraId="25A58EAB" w14:textId="77777777" w:rsidR="00713FAB" w:rsidRPr="00AF41CF" w:rsidRDefault="00000000" w:rsidP="00D97A56">
      <w:pPr>
        <w:pStyle w:val="a4"/>
        <w:adjustRightInd w:val="0"/>
        <w:spacing w:line="240" w:lineRule="auto"/>
        <w:rPr>
          <w:sz w:val="21"/>
          <w:szCs w:val="21"/>
        </w:rPr>
      </w:pPr>
      <w:r w:rsidRPr="00AF41CF">
        <w:rPr>
          <w:sz w:val="21"/>
          <w:szCs w:val="21"/>
        </w:rPr>
        <w:t>E</w:t>
      </w:r>
      <w:r w:rsidRPr="00AF41CF">
        <w:rPr>
          <w:rFonts w:hint="eastAsia"/>
          <w:sz w:val="21"/>
          <w:szCs w:val="21"/>
        </w:rPr>
        <w:t>-mail: t-harada@tagen.tohoku.ac.jp</w:t>
      </w:r>
    </w:p>
    <w:p w14:paraId="5B5EEFBD" w14:textId="77777777" w:rsidR="00713FAB" w:rsidRDefault="00713FAB" w:rsidP="00404D17">
      <w:pPr>
        <w:pStyle w:val="a4"/>
        <w:spacing w:line="240" w:lineRule="auto"/>
      </w:pPr>
    </w:p>
    <w:p w14:paraId="642019A6" w14:textId="50A4FB85" w:rsidR="00713FAB" w:rsidRPr="005F20AA" w:rsidRDefault="00000000" w:rsidP="00F272BC">
      <w:pPr>
        <w:spacing w:beforeLines="0" w:before="0" w:line="240" w:lineRule="auto"/>
        <w:ind w:firstLine="221"/>
        <w:rPr>
          <w:sz w:val="21"/>
          <w:szCs w:val="21"/>
        </w:rPr>
      </w:pPr>
      <w:bookmarkStart w:id="0" w:name="_Hlk133497921"/>
      <w:r w:rsidRPr="005F20AA">
        <w:rPr>
          <w:rFonts w:hint="eastAsia"/>
          <w:sz w:val="21"/>
          <w:szCs w:val="21"/>
        </w:rPr>
        <w:t xml:space="preserve">We have developed multilayer imaging mirrors for a transmission </w:t>
      </w:r>
      <w:r w:rsidR="00656CF5" w:rsidRPr="005F20AA">
        <w:rPr>
          <w:sz w:val="21"/>
          <w:szCs w:val="21"/>
        </w:rPr>
        <w:t>X</w:t>
      </w:r>
      <w:r w:rsidRPr="005F20AA">
        <w:rPr>
          <w:rFonts w:hint="eastAsia"/>
          <w:sz w:val="21"/>
          <w:szCs w:val="21"/>
        </w:rPr>
        <w:t xml:space="preserve">-ray </w:t>
      </w:r>
      <w:r w:rsidR="00297BF6" w:rsidRPr="005F20AA">
        <w:rPr>
          <w:sz w:val="21"/>
          <w:szCs w:val="21"/>
        </w:rPr>
        <w:t xml:space="preserve">multilayer mirror </w:t>
      </w:r>
      <w:r w:rsidRPr="005F20AA">
        <w:rPr>
          <w:rFonts w:hint="eastAsia"/>
          <w:sz w:val="21"/>
          <w:szCs w:val="21"/>
        </w:rPr>
        <w:t>microscope (TXM</w:t>
      </w:r>
      <w:r w:rsidRPr="005F20AA">
        <w:rPr>
          <w:rFonts w:hint="eastAsia"/>
          <w:sz w:val="21"/>
          <w:szCs w:val="21"/>
          <w:vertAlign w:val="superscript"/>
        </w:rPr>
        <w:t>3</w:t>
      </w:r>
      <w:r w:rsidRPr="005F20AA">
        <w:rPr>
          <w:rFonts w:hint="eastAsia"/>
          <w:sz w:val="21"/>
          <w:szCs w:val="21"/>
        </w:rPr>
        <w:t>) equipped with an LPP light source. The optics of TXM</w:t>
      </w:r>
      <w:r w:rsidRPr="005F20AA">
        <w:rPr>
          <w:rFonts w:hint="eastAsia"/>
          <w:sz w:val="21"/>
          <w:szCs w:val="21"/>
          <w:vertAlign w:val="superscript"/>
        </w:rPr>
        <w:t>3</w:t>
      </w:r>
      <w:r w:rsidRPr="005F20AA">
        <w:rPr>
          <w:rFonts w:hint="eastAsia"/>
          <w:sz w:val="21"/>
          <w:szCs w:val="21"/>
        </w:rPr>
        <w:t xml:space="preserve"> is</w:t>
      </w:r>
      <w:r w:rsidRPr="005F20AA">
        <w:rPr>
          <w:rFonts w:hint="eastAsia"/>
          <w:sz w:val="21"/>
          <w:szCs w:val="21"/>
        </w:rPr>
        <w:t xml:space="preserve">　</w:t>
      </w:r>
      <w:r w:rsidRPr="005F20AA">
        <w:rPr>
          <w:rFonts w:hint="eastAsia"/>
          <w:sz w:val="21"/>
          <w:szCs w:val="21"/>
        </w:rPr>
        <w:t xml:space="preserve">composed of four spherical multilayer mirrors, two for the </w:t>
      </w:r>
      <w:r w:rsidRPr="005F20AA">
        <w:rPr>
          <w:sz w:val="21"/>
          <w:szCs w:val="21"/>
        </w:rPr>
        <w:t>Schwarzschild</w:t>
      </w:r>
      <w:r w:rsidRPr="005F20AA">
        <w:rPr>
          <w:rFonts w:hint="eastAsia"/>
          <w:sz w:val="21"/>
          <w:szCs w:val="21"/>
        </w:rPr>
        <w:t xml:space="preserve"> optics</w:t>
      </w:r>
      <w:r w:rsidR="002F064B" w:rsidRPr="005F20AA">
        <w:rPr>
          <w:sz w:val="21"/>
          <w:szCs w:val="21"/>
        </w:rPr>
        <w:t>,</w:t>
      </w:r>
      <w:r w:rsidRPr="005F20AA">
        <w:rPr>
          <w:rFonts w:hint="eastAsia"/>
          <w:sz w:val="21"/>
          <w:szCs w:val="21"/>
        </w:rPr>
        <w:t xml:space="preserve"> and the other for </w:t>
      </w:r>
      <w:r w:rsidRPr="005F20AA">
        <w:rPr>
          <w:sz w:val="21"/>
          <w:szCs w:val="21"/>
        </w:rPr>
        <w:t>illuminator</w:t>
      </w:r>
      <w:r w:rsidRPr="005F20AA">
        <w:rPr>
          <w:rFonts w:hint="eastAsia"/>
          <w:sz w:val="21"/>
          <w:szCs w:val="21"/>
        </w:rPr>
        <w:t xml:space="preserve"> optics. The throughput </w:t>
      </w:r>
      <w:r w:rsidRPr="005F20AA">
        <w:rPr>
          <w:sz w:val="21"/>
          <w:szCs w:val="21"/>
        </w:rPr>
        <w:t>depends</w:t>
      </w:r>
      <w:r w:rsidRPr="005F20AA">
        <w:rPr>
          <w:rFonts w:hint="eastAsia"/>
          <w:sz w:val="21"/>
          <w:szCs w:val="21"/>
        </w:rPr>
        <w:t xml:space="preserve"> on a single multilayer reflectivity and reflection wavelength matching of the four </w:t>
      </w:r>
      <w:r w:rsidRPr="005F20AA">
        <w:rPr>
          <w:sz w:val="21"/>
          <w:szCs w:val="21"/>
        </w:rPr>
        <w:t>multilayers</w:t>
      </w:r>
      <w:r w:rsidRPr="005F20AA">
        <w:rPr>
          <w:rFonts w:hint="eastAsia"/>
          <w:sz w:val="21"/>
          <w:szCs w:val="21"/>
        </w:rPr>
        <w:t xml:space="preserve">. We have reported about our </w:t>
      </w:r>
      <w:r w:rsidR="00297BF6" w:rsidRPr="005F20AA">
        <w:rPr>
          <w:sz w:val="21"/>
          <w:szCs w:val="21"/>
        </w:rPr>
        <w:t>IBS</w:t>
      </w:r>
      <w:r w:rsidRPr="005F20AA">
        <w:rPr>
          <w:rFonts w:hint="eastAsia"/>
          <w:sz w:val="21"/>
          <w:szCs w:val="21"/>
        </w:rPr>
        <w:t xml:space="preserve"> deposition system with a moving deposition shutter (MDS) to control the period thickness distribution, as well as the deposition rate stabilization technique [1]. In this paper, we report the results of Mo/Si multilayer deposition on the four mirrors.</w:t>
      </w:r>
    </w:p>
    <w:bookmarkEnd w:id="0"/>
    <w:p w14:paraId="09140438" w14:textId="693F1455" w:rsidR="00713FAB" w:rsidRPr="005F20AA" w:rsidRDefault="000935B2" w:rsidP="00F272BC">
      <w:pPr>
        <w:spacing w:beforeLines="0" w:before="0" w:line="240" w:lineRule="auto"/>
        <w:ind w:firstLine="221"/>
        <w:rPr>
          <w:sz w:val="21"/>
          <w:szCs w:val="21"/>
        </w:rPr>
      </w:pPr>
      <w:r w:rsidRPr="005F20AA">
        <w:rPr>
          <w:rFonts w:hint="eastAsia"/>
          <w:sz w:val="21"/>
          <w:szCs w:val="21"/>
        </w:rPr>
        <w:t>Figure 1</w:t>
      </w:r>
      <w:r w:rsidRPr="005F20AA">
        <w:rPr>
          <w:sz w:val="21"/>
          <w:szCs w:val="21"/>
        </w:rPr>
        <w:t>(a)</w:t>
      </w:r>
      <w:r w:rsidRPr="005F20AA">
        <w:rPr>
          <w:rFonts w:hint="eastAsia"/>
          <w:sz w:val="21"/>
          <w:szCs w:val="21"/>
        </w:rPr>
        <w:t xml:space="preserve"> shows the period-thickness distributions of the spherical substrates used for TXM</w:t>
      </w:r>
      <w:r w:rsidRPr="005F20AA">
        <w:rPr>
          <w:rFonts w:hint="eastAsia"/>
          <w:sz w:val="21"/>
          <w:szCs w:val="21"/>
          <w:vertAlign w:val="superscript"/>
        </w:rPr>
        <w:t>3</w:t>
      </w:r>
      <w:r w:rsidRPr="005F20AA">
        <w:rPr>
          <w:rFonts w:hint="eastAsia"/>
          <w:sz w:val="21"/>
          <w:szCs w:val="21"/>
        </w:rPr>
        <w:t>. The dash-dot curves show the distributions without MDS control. Solid curves show those determined by the optical design, which should be targets of MDS control. In particular, the convex mirror (#1) in Schwarzschild optics requires a steep gradient.</w:t>
      </w:r>
      <w:r w:rsidR="00A34678" w:rsidRPr="005F20AA">
        <w:rPr>
          <w:sz w:val="21"/>
          <w:szCs w:val="21"/>
        </w:rPr>
        <w:t xml:space="preserve"> </w:t>
      </w:r>
      <w:r w:rsidRPr="005F20AA">
        <w:rPr>
          <w:rFonts w:hint="eastAsia"/>
          <w:sz w:val="21"/>
          <w:szCs w:val="21"/>
        </w:rPr>
        <w:t xml:space="preserve">Figure </w:t>
      </w:r>
      <w:r w:rsidRPr="005F20AA">
        <w:rPr>
          <w:sz w:val="21"/>
          <w:szCs w:val="21"/>
        </w:rPr>
        <w:t>1(b)</w:t>
      </w:r>
      <w:r w:rsidRPr="005F20AA">
        <w:rPr>
          <w:rFonts w:hint="eastAsia"/>
          <w:sz w:val="21"/>
          <w:szCs w:val="21"/>
        </w:rPr>
        <w:t xml:space="preserve"> shows the </w:t>
      </w:r>
      <w:r w:rsidRPr="005F20AA">
        <w:rPr>
          <w:sz w:val="21"/>
          <w:szCs w:val="21"/>
        </w:rPr>
        <w:t>period-thickness</w:t>
      </w:r>
      <w:r w:rsidR="005F045A" w:rsidRPr="005F20AA">
        <w:rPr>
          <w:sz w:val="21"/>
          <w:szCs w:val="21"/>
        </w:rPr>
        <w:t xml:space="preserve"> </w:t>
      </w:r>
      <w:r w:rsidRPr="005F20AA">
        <w:rPr>
          <w:sz w:val="21"/>
          <w:szCs w:val="21"/>
        </w:rPr>
        <w:t xml:space="preserve">distribution </w:t>
      </w:r>
      <w:r w:rsidRPr="005F20AA">
        <w:rPr>
          <w:rFonts w:hint="eastAsia"/>
          <w:sz w:val="21"/>
          <w:szCs w:val="21"/>
        </w:rPr>
        <w:t xml:space="preserve">of the </w:t>
      </w:r>
      <w:r w:rsidR="005F045A" w:rsidRPr="005F20AA">
        <w:rPr>
          <w:sz w:val="21"/>
          <w:szCs w:val="21"/>
        </w:rPr>
        <w:t xml:space="preserve">deposited </w:t>
      </w:r>
      <w:r w:rsidRPr="005F20AA">
        <w:rPr>
          <w:rFonts w:hint="eastAsia"/>
          <w:sz w:val="21"/>
          <w:szCs w:val="21"/>
        </w:rPr>
        <w:t>Mo/Si multilayer</w:t>
      </w:r>
      <w:r w:rsidRPr="005F20AA">
        <w:rPr>
          <w:sz w:val="21"/>
          <w:szCs w:val="21"/>
        </w:rPr>
        <w:t>, which were measured by a reflectometer at Photon Factory BL-12A</w:t>
      </w:r>
      <w:r w:rsidRPr="005F20AA">
        <w:rPr>
          <w:rFonts w:hint="eastAsia"/>
          <w:sz w:val="21"/>
          <w:szCs w:val="21"/>
        </w:rPr>
        <w:t xml:space="preserve">. The vertical axis is the period thickness difference from the design. All the errors </w:t>
      </w:r>
      <w:r w:rsidR="00361138" w:rsidRPr="005F20AA">
        <w:rPr>
          <w:sz w:val="21"/>
          <w:szCs w:val="21"/>
        </w:rPr>
        <w:t>were well</w:t>
      </w:r>
      <w:r w:rsidRPr="005F20AA">
        <w:rPr>
          <w:rFonts w:hint="eastAsia"/>
          <w:sz w:val="21"/>
          <w:szCs w:val="21"/>
        </w:rPr>
        <w:t xml:space="preserve"> controlled within </w:t>
      </w:r>
      <w:r w:rsidRPr="005F20AA">
        <w:rPr>
          <w:sz w:val="21"/>
          <w:szCs w:val="21"/>
        </w:rPr>
        <w:t>±</w:t>
      </w:r>
      <w:r w:rsidRPr="005F20AA">
        <w:rPr>
          <w:rFonts w:hint="eastAsia"/>
          <w:sz w:val="21"/>
          <w:szCs w:val="21"/>
        </w:rPr>
        <w:t>0.6</w:t>
      </w:r>
      <w:r w:rsidRPr="005F20AA">
        <w:rPr>
          <w:sz w:val="21"/>
          <w:szCs w:val="21"/>
        </w:rPr>
        <w:t xml:space="preserve">% that </w:t>
      </w:r>
      <w:r w:rsidR="00361138" w:rsidRPr="005F20AA">
        <w:rPr>
          <w:sz w:val="21"/>
          <w:szCs w:val="21"/>
        </w:rPr>
        <w:t>indicates</w:t>
      </w:r>
      <w:r w:rsidRPr="005F20AA">
        <w:rPr>
          <w:sz w:val="21"/>
          <w:szCs w:val="21"/>
        </w:rPr>
        <w:t xml:space="preserve"> the total throughput</w:t>
      </w:r>
      <w:r w:rsidRPr="005F20AA">
        <w:rPr>
          <w:rFonts w:hint="eastAsia"/>
          <w:sz w:val="21"/>
          <w:szCs w:val="21"/>
        </w:rPr>
        <w:t xml:space="preserve"> should be no less than 86% of the perfectly matched multilayers. The matching accuracy of #2-#4 is </w:t>
      </w:r>
      <w:r w:rsidRPr="005F20AA">
        <w:rPr>
          <w:sz w:val="21"/>
          <w:szCs w:val="21"/>
        </w:rPr>
        <w:t>±</w:t>
      </w:r>
      <w:r w:rsidRPr="005F20AA">
        <w:rPr>
          <w:rFonts w:hint="eastAsia"/>
          <w:sz w:val="21"/>
          <w:szCs w:val="21"/>
        </w:rPr>
        <w:t>0.2%, enough to be applied to shorter wavelength multilayers</w:t>
      </w:r>
      <w:r w:rsidR="00617042" w:rsidRPr="005F20AA">
        <w:rPr>
          <w:sz w:val="21"/>
          <w:szCs w:val="21"/>
        </w:rPr>
        <w:t xml:space="preserve"> such as carbon- and water-windows multilayers</w:t>
      </w:r>
      <w:r w:rsidRPr="005F20AA">
        <w:rPr>
          <w:rFonts w:hint="eastAsia"/>
          <w:sz w:val="21"/>
          <w:szCs w:val="21"/>
        </w:rPr>
        <w:t>.</w:t>
      </w:r>
    </w:p>
    <w:p w14:paraId="04CA4105" w14:textId="54952E68" w:rsidR="00543020" w:rsidRPr="005F20AA" w:rsidRDefault="001864E7" w:rsidP="00F3267E">
      <w:pPr>
        <w:spacing w:beforeLines="0" w:before="0" w:line="240" w:lineRule="auto"/>
        <w:jc w:val="center"/>
        <w:rPr>
          <w:sz w:val="21"/>
          <w:szCs w:val="21"/>
        </w:rPr>
      </w:pPr>
      <w:r w:rsidRPr="005F20AA">
        <w:rPr>
          <w:noProof/>
          <w:sz w:val="21"/>
          <w:szCs w:val="21"/>
        </w:rPr>
        <w:drawing>
          <wp:inline distT="0" distB="0" distL="0" distR="0" wp14:anchorId="226D47EC" wp14:editId="5B10605E">
            <wp:extent cx="4956881" cy="1978926"/>
            <wp:effectExtent l="0" t="0" r="0" b="2540"/>
            <wp:docPr id="11263938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316" cy="19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B406" w14:textId="4A3C4F75" w:rsidR="001864E7" w:rsidRPr="005F20AA" w:rsidRDefault="001864E7" w:rsidP="00404D17">
      <w:pPr>
        <w:spacing w:beforeLines="0" w:before="0" w:line="240" w:lineRule="auto"/>
        <w:rPr>
          <w:sz w:val="21"/>
          <w:szCs w:val="21"/>
        </w:rPr>
      </w:pPr>
      <w:r w:rsidRPr="005F20AA">
        <w:rPr>
          <w:rFonts w:hint="eastAsia"/>
          <w:sz w:val="21"/>
          <w:szCs w:val="21"/>
        </w:rPr>
        <w:t>F</w:t>
      </w:r>
      <w:r w:rsidRPr="005F20AA">
        <w:rPr>
          <w:sz w:val="21"/>
          <w:szCs w:val="21"/>
        </w:rPr>
        <w:t>igure 1.</w:t>
      </w:r>
      <w:r w:rsidR="00DD3E38" w:rsidRPr="005F20AA">
        <w:rPr>
          <w:sz w:val="21"/>
          <w:szCs w:val="21"/>
        </w:rPr>
        <w:t xml:space="preserve"> </w:t>
      </w:r>
      <w:r w:rsidR="00DD3E38" w:rsidRPr="005F20AA">
        <w:rPr>
          <w:rFonts w:hint="eastAsia"/>
          <w:sz w:val="21"/>
          <w:szCs w:val="21"/>
        </w:rPr>
        <w:t xml:space="preserve">Period thickness distributions of </w:t>
      </w:r>
      <w:r w:rsidR="00DD3E38" w:rsidRPr="005F20AA">
        <w:rPr>
          <w:sz w:val="21"/>
          <w:szCs w:val="21"/>
        </w:rPr>
        <w:t xml:space="preserve">(a) </w:t>
      </w:r>
      <w:r w:rsidR="00DD3E38" w:rsidRPr="005F20AA">
        <w:rPr>
          <w:rFonts w:hint="eastAsia"/>
          <w:sz w:val="21"/>
          <w:szCs w:val="21"/>
        </w:rPr>
        <w:t xml:space="preserve">the design (solid </w:t>
      </w:r>
      <w:r w:rsidR="00DD3E38" w:rsidRPr="005F20AA">
        <w:rPr>
          <w:sz w:val="21"/>
          <w:szCs w:val="21"/>
        </w:rPr>
        <w:t>curves</w:t>
      </w:r>
      <w:r w:rsidR="00DD3E38" w:rsidRPr="005F20AA">
        <w:rPr>
          <w:rFonts w:hint="eastAsia"/>
          <w:sz w:val="21"/>
          <w:szCs w:val="21"/>
        </w:rPr>
        <w:t>) and those without the MDS control (dash-dot curves)</w:t>
      </w:r>
      <w:r w:rsidR="00DD3E38" w:rsidRPr="005F20AA">
        <w:rPr>
          <w:sz w:val="21"/>
          <w:szCs w:val="21"/>
        </w:rPr>
        <w:t xml:space="preserve">, and (b) experimental result of the </w:t>
      </w:r>
      <w:r w:rsidR="00DD3E38" w:rsidRPr="005F20AA">
        <w:rPr>
          <w:rFonts w:hint="eastAsia"/>
          <w:sz w:val="21"/>
          <w:szCs w:val="21"/>
        </w:rPr>
        <w:t>four Mo/Si multilayer mirrors</w:t>
      </w:r>
      <w:r w:rsidR="00A12532" w:rsidRPr="005F20AA">
        <w:rPr>
          <w:sz w:val="21"/>
          <w:szCs w:val="21"/>
        </w:rPr>
        <w:t xml:space="preserve"> of TXM</w:t>
      </w:r>
      <w:r w:rsidR="00A12532" w:rsidRPr="005F20AA">
        <w:rPr>
          <w:sz w:val="21"/>
          <w:szCs w:val="21"/>
          <w:vertAlign w:val="superscript"/>
        </w:rPr>
        <w:t>3</w:t>
      </w:r>
      <w:r w:rsidR="00DD3E38" w:rsidRPr="005F20AA">
        <w:rPr>
          <w:rFonts w:hint="eastAsia"/>
          <w:sz w:val="21"/>
          <w:szCs w:val="21"/>
        </w:rPr>
        <w:t>.</w:t>
      </w:r>
    </w:p>
    <w:p w14:paraId="722BD713" w14:textId="5D3A89CE" w:rsidR="002565CD" w:rsidRPr="005F20AA" w:rsidRDefault="000A1705" w:rsidP="002565CD">
      <w:pPr>
        <w:spacing w:beforeLines="0" w:before="0" w:line="240" w:lineRule="auto"/>
        <w:rPr>
          <w:b/>
          <w:bCs/>
          <w:sz w:val="21"/>
          <w:szCs w:val="21"/>
        </w:rPr>
      </w:pPr>
      <w:r w:rsidRPr="005F20AA">
        <w:rPr>
          <w:b/>
          <w:bCs/>
          <w:sz w:val="21"/>
          <w:szCs w:val="21"/>
        </w:rPr>
        <w:t>Reference</w:t>
      </w:r>
      <w:r w:rsidR="005F20AA" w:rsidRPr="005F20AA">
        <w:rPr>
          <w:rFonts w:hint="eastAsia"/>
          <w:b/>
          <w:bCs/>
          <w:sz w:val="21"/>
          <w:szCs w:val="21"/>
        </w:rPr>
        <w:t>s</w:t>
      </w:r>
    </w:p>
    <w:p w14:paraId="07D0D945" w14:textId="20D50205" w:rsidR="002565CD" w:rsidRPr="005F20AA" w:rsidRDefault="002565CD" w:rsidP="00404D17">
      <w:pPr>
        <w:spacing w:beforeLines="0" w:before="0" w:line="240" w:lineRule="auto"/>
        <w:rPr>
          <w:sz w:val="21"/>
          <w:szCs w:val="21"/>
        </w:rPr>
      </w:pPr>
      <w:r w:rsidRPr="005F20AA">
        <w:rPr>
          <w:rFonts w:hint="eastAsia"/>
          <w:sz w:val="21"/>
          <w:szCs w:val="21"/>
        </w:rPr>
        <w:t xml:space="preserve">[1] T. </w:t>
      </w:r>
      <w:proofErr w:type="spellStart"/>
      <w:r w:rsidRPr="005F20AA">
        <w:rPr>
          <w:rFonts w:hint="eastAsia"/>
          <w:sz w:val="21"/>
          <w:szCs w:val="21"/>
        </w:rPr>
        <w:t>Hatano</w:t>
      </w:r>
      <w:proofErr w:type="spellEnd"/>
      <w:r w:rsidRPr="005F20AA">
        <w:rPr>
          <w:rFonts w:hint="eastAsia"/>
          <w:sz w:val="21"/>
          <w:szCs w:val="21"/>
        </w:rPr>
        <w:t xml:space="preserve">, H. </w:t>
      </w:r>
      <w:proofErr w:type="spellStart"/>
      <w:proofErr w:type="gramStart"/>
      <w:r w:rsidRPr="005F20AA">
        <w:rPr>
          <w:rFonts w:hint="eastAsia"/>
          <w:sz w:val="21"/>
          <w:szCs w:val="21"/>
        </w:rPr>
        <w:t>Umetsu</w:t>
      </w:r>
      <w:proofErr w:type="spellEnd"/>
      <w:proofErr w:type="gramEnd"/>
      <w:r w:rsidRPr="005F20AA">
        <w:rPr>
          <w:rFonts w:hint="eastAsia"/>
          <w:sz w:val="21"/>
          <w:szCs w:val="21"/>
        </w:rPr>
        <w:t xml:space="preserve"> and M. Yamamoto, JSPE Publication Series, </w:t>
      </w:r>
      <w:r w:rsidRPr="005F20AA">
        <w:rPr>
          <w:rFonts w:hint="eastAsia"/>
          <w:b/>
          <w:bCs/>
          <w:sz w:val="21"/>
          <w:szCs w:val="21"/>
        </w:rPr>
        <w:t>3</w:t>
      </w:r>
      <w:r w:rsidRPr="005F20AA">
        <w:rPr>
          <w:rFonts w:hint="eastAsia"/>
          <w:sz w:val="21"/>
          <w:szCs w:val="21"/>
        </w:rPr>
        <w:t xml:space="preserve"> (1999) 292.</w:t>
      </w:r>
    </w:p>
    <w:sectPr w:rsidR="002565CD" w:rsidRPr="005F20AA" w:rsidSect="00274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7E45" w14:textId="77777777" w:rsidR="004242C6" w:rsidRDefault="004242C6" w:rsidP="00D60850">
      <w:pPr>
        <w:spacing w:before="48" w:line="240" w:lineRule="auto"/>
      </w:pPr>
      <w:r>
        <w:separator/>
      </w:r>
    </w:p>
  </w:endnote>
  <w:endnote w:type="continuationSeparator" w:id="0">
    <w:p w14:paraId="256A95B1" w14:textId="77777777" w:rsidR="004242C6" w:rsidRDefault="004242C6" w:rsidP="00D60850">
      <w:pPr>
        <w:spacing w:before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DFAB" w14:textId="77777777" w:rsidR="00D60850" w:rsidRDefault="00D60850">
    <w:pPr>
      <w:pStyle w:val="a8"/>
      <w:spacing w:befor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3126" w14:textId="77777777" w:rsidR="00D60850" w:rsidRDefault="00D60850">
    <w:pPr>
      <w:pStyle w:val="a8"/>
      <w:spacing w:befor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6F87" w14:textId="77777777" w:rsidR="00D60850" w:rsidRDefault="00D60850">
    <w:pPr>
      <w:pStyle w:val="a8"/>
      <w:spacing w:befor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68F7" w14:textId="77777777" w:rsidR="004242C6" w:rsidRDefault="004242C6" w:rsidP="00D60850">
      <w:pPr>
        <w:spacing w:before="48" w:line="240" w:lineRule="auto"/>
      </w:pPr>
      <w:r>
        <w:separator/>
      </w:r>
    </w:p>
  </w:footnote>
  <w:footnote w:type="continuationSeparator" w:id="0">
    <w:p w14:paraId="0B6B2968" w14:textId="77777777" w:rsidR="004242C6" w:rsidRDefault="004242C6" w:rsidP="00D60850">
      <w:pPr>
        <w:spacing w:before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A058" w14:textId="77777777" w:rsidR="00D60850" w:rsidRDefault="00D60850">
    <w:pPr>
      <w:pStyle w:val="a6"/>
      <w:spacing w:befor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7D9F" w14:textId="77777777" w:rsidR="00D60850" w:rsidRDefault="00D60850">
    <w:pPr>
      <w:pStyle w:val="a6"/>
      <w:spacing w:befor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49E3" w14:textId="77777777" w:rsidR="00D60850" w:rsidRDefault="00D60850">
    <w:pPr>
      <w:pStyle w:val="a6"/>
      <w:spacing w:before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4A59"/>
    <w:multiLevelType w:val="hybridMultilevel"/>
    <w:tmpl w:val="315C03F6"/>
    <w:lvl w:ilvl="0" w:tplc="56CE9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11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50"/>
    <w:rsid w:val="00023B0E"/>
    <w:rsid w:val="000935B2"/>
    <w:rsid w:val="000A1705"/>
    <w:rsid w:val="001864E7"/>
    <w:rsid w:val="00223532"/>
    <w:rsid w:val="002525E1"/>
    <w:rsid w:val="002565CD"/>
    <w:rsid w:val="00274515"/>
    <w:rsid w:val="00297BF6"/>
    <w:rsid w:val="002F064B"/>
    <w:rsid w:val="00361138"/>
    <w:rsid w:val="003631F9"/>
    <w:rsid w:val="00383C4E"/>
    <w:rsid w:val="003B5ABB"/>
    <w:rsid w:val="00404D17"/>
    <w:rsid w:val="004242C6"/>
    <w:rsid w:val="00481631"/>
    <w:rsid w:val="00543020"/>
    <w:rsid w:val="005870E5"/>
    <w:rsid w:val="005F045A"/>
    <w:rsid w:val="005F20AA"/>
    <w:rsid w:val="005F584F"/>
    <w:rsid w:val="00617042"/>
    <w:rsid w:val="00656CF5"/>
    <w:rsid w:val="006E2CC2"/>
    <w:rsid w:val="00713FAB"/>
    <w:rsid w:val="00763AC2"/>
    <w:rsid w:val="009A5D3B"/>
    <w:rsid w:val="009F3124"/>
    <w:rsid w:val="00A12532"/>
    <w:rsid w:val="00A34678"/>
    <w:rsid w:val="00AD07EC"/>
    <w:rsid w:val="00AF41CF"/>
    <w:rsid w:val="00B06A11"/>
    <w:rsid w:val="00B6059B"/>
    <w:rsid w:val="00D60850"/>
    <w:rsid w:val="00D97A56"/>
    <w:rsid w:val="00DD3E38"/>
    <w:rsid w:val="00E36B9F"/>
    <w:rsid w:val="00EB0DEB"/>
    <w:rsid w:val="00F272BC"/>
    <w:rsid w:val="00F3267E"/>
    <w:rsid w:val="00F7633E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1D8EB"/>
  <w15:chartTrackingRefBased/>
  <w15:docId w15:val="{B88B02DD-14F7-44F9-8010-6B1E0744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beforeLines="20" w:before="20" w:line="280" w:lineRule="exact"/>
      <w:jc w:val="both"/>
    </w:pPr>
    <w:rPr>
      <w:rFonts w:ascii="Times New Roman" w:eastAsia="ＭＳ Ｐ明朝" w:hAnsi="Times New Roman"/>
      <w:snapToGrid w:val="0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napToGrid w:val="0"/>
      <w:spacing w:beforeLines="0" w:before="0"/>
      <w:jc w:val="center"/>
    </w:pPr>
    <w:rPr>
      <w:sz w:val="24"/>
    </w:rPr>
  </w:style>
  <w:style w:type="paragraph" w:styleId="a5">
    <w:name w:val="Body Text"/>
    <w:basedOn w:val="a0"/>
    <w:semiHidden/>
    <w:rPr>
      <w:sz w:val="21"/>
    </w:rPr>
  </w:style>
  <w:style w:type="paragraph" w:styleId="a6">
    <w:name w:val="header"/>
    <w:basedOn w:val="a0"/>
    <w:link w:val="a7"/>
    <w:uiPriority w:val="99"/>
    <w:unhideWhenUsed/>
    <w:rsid w:val="00D60850"/>
    <w:pPr>
      <w:tabs>
        <w:tab w:val="center" w:pos="4252"/>
        <w:tab w:val="right" w:pos="8504"/>
      </w:tabs>
      <w:snapToGrid w:val="0"/>
    </w:pPr>
  </w:style>
  <w:style w:type="paragraph" w:customStyle="1" w:styleId="a">
    <w:name w:val="パラグラフ"/>
    <w:basedOn w:val="a0"/>
    <w:pPr>
      <w:numPr>
        <w:numId w:val="1"/>
      </w:numPr>
      <w:spacing w:beforeLines="50" w:before="50" w:line="240" w:lineRule="auto"/>
      <w:jc w:val="left"/>
    </w:pPr>
    <w:rPr>
      <w:b/>
      <w:bCs/>
      <w:sz w:val="24"/>
    </w:rPr>
  </w:style>
  <w:style w:type="character" w:customStyle="1" w:styleId="a7">
    <w:name w:val="ヘッダー (文字)"/>
    <w:basedOn w:val="a1"/>
    <w:link w:val="a6"/>
    <w:uiPriority w:val="99"/>
    <w:rsid w:val="00D60850"/>
    <w:rPr>
      <w:rFonts w:ascii="Times New Roman" w:eastAsia="ＭＳ Ｐ明朝" w:hAnsi="Times New Roman"/>
      <w:snapToGrid w:val="0"/>
      <w:kern w:val="2"/>
      <w:sz w:val="22"/>
      <w:szCs w:val="24"/>
    </w:rPr>
  </w:style>
  <w:style w:type="paragraph" w:styleId="a8">
    <w:name w:val="footer"/>
    <w:basedOn w:val="a0"/>
    <w:link w:val="a9"/>
    <w:uiPriority w:val="99"/>
    <w:unhideWhenUsed/>
    <w:rsid w:val="00D6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60850"/>
    <w:rPr>
      <w:rFonts w:ascii="Times New Roman" w:eastAsia="ＭＳ Ｐ明朝" w:hAnsi="Times New Roman"/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801666-1580-4600-AE36-D58C58C3A665}">
  <we:reference id="wa200001361" version="2.2.1.0" store="en-US" storeType="OMEX"/>
  <we:alternateReferences>
    <we:reference id="wa200001361" version="2.2.1.0" store="" storeType="OMEX"/>
  </we:alternateReferences>
  <we:properties>
    <we:property name="paperpal-document-id" value="&quot;41798360-cecd-4c51-97c1-1aa1afebdc61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Period Thickness Distribution on the Spherical Substrates Measured with Si Wafers Assemblies</vt:lpstr>
    </vt:vector>
  </TitlesOfParts>
  <Company>sx-micro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Period Thickness Distribution on the Spherical Substrates Measured with Si Wafers Assemblies</dc:title>
  <dc:subject/>
  <dc:creator>thwo</dc:creator>
  <cp:keywords/>
  <dc:description/>
  <cp:lastModifiedBy>原田 哲男</cp:lastModifiedBy>
  <cp:revision>41</cp:revision>
  <cp:lastPrinted>2007-11-01T06:44:00Z</cp:lastPrinted>
  <dcterms:created xsi:type="dcterms:W3CDTF">2023-04-27T05:07:00Z</dcterms:created>
  <dcterms:modified xsi:type="dcterms:W3CDTF">2023-04-27T06:03:00Z</dcterms:modified>
</cp:coreProperties>
</file>